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4" w:rsidRPr="00184A74" w:rsidRDefault="00184A74" w:rsidP="001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Lihavoitu" w:hAnsi="Times New Roman Lihavoitu" w:cs="Times New Roman Lihavoitu"/>
          <w:b/>
          <w:i/>
          <w:sz w:val="30"/>
          <w:szCs w:val="28"/>
          <w:lang w:val="en-US"/>
        </w:rPr>
      </w:pPr>
      <w:r w:rsidRPr="00184A74">
        <w:rPr>
          <w:rFonts w:ascii="Times New Roman Lihavoitu" w:hAnsi="Times New Roman Lihavoitu" w:cs="Times New Roman Lihavoitu"/>
          <w:b/>
          <w:i/>
          <w:sz w:val="30"/>
          <w:szCs w:val="28"/>
          <w:lang w:val="en-US"/>
        </w:rPr>
        <w:t>Corporate Insiders’ Trading Behavior: Does Country-level</w:t>
      </w:r>
    </w:p>
    <w:p w:rsidR="00184A74" w:rsidRPr="00184A74" w:rsidRDefault="00184A74" w:rsidP="001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Lihavoitu" w:hAnsi="Times New Roman Lihavoitu" w:cs="Times New Roman Lihavoitu"/>
          <w:b/>
          <w:i/>
          <w:sz w:val="30"/>
          <w:szCs w:val="28"/>
          <w:lang w:val="en-US"/>
        </w:rPr>
      </w:pPr>
      <w:r w:rsidRPr="00184A74">
        <w:rPr>
          <w:rFonts w:ascii="Times New Roman Lihavoitu" w:hAnsi="Times New Roman Lihavoitu" w:cs="Times New Roman Lihavoitu"/>
          <w:b/>
          <w:i/>
          <w:sz w:val="30"/>
          <w:szCs w:val="28"/>
          <w:lang w:val="en-US"/>
        </w:rPr>
        <w:t>Governance matter?</w:t>
      </w:r>
    </w:p>
    <w:p w:rsidR="00184A74" w:rsidRDefault="00184A74" w:rsidP="00184A74">
      <w:pPr>
        <w:autoSpaceDE w:val="0"/>
        <w:autoSpaceDN w:val="0"/>
        <w:adjustRightInd w:val="0"/>
        <w:spacing w:after="0" w:line="240" w:lineRule="auto"/>
        <w:rPr>
          <w:rFonts w:ascii="Times New Roman Lihavoitu" w:hAnsi="Times New Roman Lihavoitu" w:cs="Times New Roman Lihavoitu"/>
          <w:sz w:val="23"/>
          <w:szCs w:val="23"/>
          <w:lang w:val="en-US"/>
        </w:rPr>
      </w:pPr>
    </w:p>
    <w:p w:rsidR="00184A74" w:rsidRPr="00184A74" w:rsidRDefault="00184A74" w:rsidP="0018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4A74" w:rsidRPr="00184A74" w:rsidRDefault="00184A74" w:rsidP="00184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4A74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184A74" w:rsidRPr="00184A74" w:rsidRDefault="00184A74" w:rsidP="0018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4A74">
        <w:rPr>
          <w:rFonts w:ascii="Times New Roman" w:hAnsi="Times New Roman" w:cs="Times New Roman"/>
          <w:sz w:val="24"/>
          <w:szCs w:val="24"/>
          <w:lang w:val="en-US"/>
        </w:rPr>
        <w:t>We investigate whether corporate insiders in European countries with different levels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governance and shareholder protection earn different abnormal returns on their insider trading. 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also investigate how insiders’ trading behavior in these countries has changed due to the 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crisis in 2008-09. In contrast to common belief, we find no evidence that strong country-level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governance or shareholder protection would restrict abnormal insider returns. Our results rather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point to opposite, i.e. insiders in strong governance or investor protection countries sell more</w:t>
      </w:r>
    </w:p>
    <w:p w:rsidR="00A221B9" w:rsidRPr="00184A74" w:rsidRDefault="00184A74" w:rsidP="00184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4A74">
        <w:rPr>
          <w:rFonts w:ascii="Times New Roman" w:hAnsi="Times New Roman" w:cs="Times New Roman"/>
          <w:sz w:val="24"/>
          <w:szCs w:val="24"/>
          <w:lang w:val="en-US"/>
        </w:rPr>
        <w:t>aggressively before stock price declines to avoid losses, compared to insiders in weak governance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and investor protection countries. The negative effect of the country-level governance to insider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returns is consistent with the substitution hypothesis. Finally, our results show that although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global financial crisis has increased corporate insiders’ informational advantage over outside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A74">
        <w:rPr>
          <w:rFonts w:ascii="Times New Roman" w:hAnsi="Times New Roman" w:cs="Times New Roman"/>
          <w:sz w:val="24"/>
          <w:szCs w:val="24"/>
          <w:lang w:val="en-US"/>
        </w:rPr>
        <w:t>investors, it has also reduces the differences in insider returns between countries.</w:t>
      </w:r>
    </w:p>
    <w:sectPr w:rsidR="00A221B9" w:rsidRPr="00184A74" w:rsidSect="00A22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 New Roman Lihavoitu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84A74"/>
    <w:rsid w:val="00184A74"/>
    <w:rsid w:val="00A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Melas</dc:creator>
  <cp:lastModifiedBy>Konstantinos Melas</cp:lastModifiedBy>
  <cp:revision>1</cp:revision>
  <dcterms:created xsi:type="dcterms:W3CDTF">2016-03-07T11:44:00Z</dcterms:created>
  <dcterms:modified xsi:type="dcterms:W3CDTF">2016-03-07T11:46:00Z</dcterms:modified>
</cp:coreProperties>
</file>